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6D279C0F" w:rsidR="00A73E79" w:rsidRPr="00DC15CE" w:rsidRDefault="00A73E79" w:rsidP="004900AF">
      <w:pPr>
        <w:jc w:val="center"/>
        <w:rPr>
          <w:rFonts w:ascii="Verdana" w:hAnsi="Verdana"/>
          <w:b/>
          <w:sz w:val="22"/>
          <w:szCs w:val="22"/>
          <w:u w:val="single"/>
        </w:rPr>
      </w:pPr>
      <w:r w:rsidRPr="00DC15CE">
        <w:rPr>
          <w:rFonts w:ascii="Verdana" w:hAnsi="Verdana"/>
          <w:b/>
          <w:sz w:val="22"/>
          <w:szCs w:val="22"/>
          <w:u w:val="single"/>
        </w:rPr>
        <w:t xml:space="preserve">Caso </w:t>
      </w:r>
      <w:r w:rsidR="004900AF" w:rsidRPr="004900AF">
        <w:rPr>
          <w:rFonts w:ascii="Verdana" w:hAnsi="Verdana"/>
          <w:b/>
          <w:sz w:val="22"/>
          <w:szCs w:val="22"/>
          <w:u w:val="single"/>
        </w:rPr>
        <w:t xml:space="preserve">Comunidades indígenas miembros de la Asociación </w:t>
      </w:r>
      <w:proofErr w:type="spellStart"/>
      <w:r w:rsidR="004900AF" w:rsidRPr="004900AF">
        <w:rPr>
          <w:rFonts w:ascii="Verdana" w:hAnsi="Verdana"/>
          <w:b/>
          <w:sz w:val="22"/>
          <w:szCs w:val="22"/>
          <w:u w:val="single"/>
        </w:rPr>
        <w:t>Lhaka</w:t>
      </w:r>
      <w:proofErr w:type="spellEnd"/>
      <w:r w:rsidR="004900AF" w:rsidRPr="004900AF">
        <w:rPr>
          <w:rFonts w:ascii="Verdana" w:hAnsi="Verdana"/>
          <w:b/>
          <w:sz w:val="22"/>
          <w:szCs w:val="22"/>
          <w:u w:val="single"/>
        </w:rPr>
        <w:t xml:space="preserve"> </w:t>
      </w:r>
      <w:proofErr w:type="spellStart"/>
      <w:r w:rsidR="004900AF" w:rsidRPr="004900AF">
        <w:rPr>
          <w:rFonts w:ascii="Verdana" w:hAnsi="Verdana"/>
          <w:b/>
          <w:sz w:val="22"/>
          <w:szCs w:val="22"/>
          <w:u w:val="single"/>
        </w:rPr>
        <w:t>Honhat</w:t>
      </w:r>
      <w:proofErr w:type="spellEnd"/>
      <w:r w:rsidR="004900AF">
        <w:rPr>
          <w:rFonts w:ascii="Verdana" w:hAnsi="Verdana"/>
          <w:b/>
          <w:sz w:val="22"/>
          <w:szCs w:val="22"/>
          <w:u w:val="single"/>
        </w:rPr>
        <w:t xml:space="preserve"> (Nuestra </w:t>
      </w:r>
      <w:r w:rsidR="004900AF" w:rsidRPr="004900AF">
        <w:rPr>
          <w:rFonts w:ascii="Verdana" w:hAnsi="Verdana"/>
          <w:b/>
          <w:sz w:val="22"/>
          <w:szCs w:val="22"/>
          <w:u w:val="single"/>
        </w:rPr>
        <w:t>Tierra)</w:t>
      </w:r>
      <w:r w:rsidR="004900AF">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B00574">
        <w:rPr>
          <w:rFonts w:ascii="Verdana" w:hAnsi="Verdana"/>
          <w:b/>
          <w:sz w:val="22"/>
          <w:szCs w:val="22"/>
          <w:u w:val="single"/>
        </w:rPr>
        <w:t>Argentina</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7D8DD2E6" w14:textId="0162E6BF" w:rsidR="004B642A" w:rsidRPr="004B642A" w:rsidRDefault="004C665B" w:rsidP="00025717">
      <w:pPr>
        <w:pStyle w:val="Default"/>
        <w:jc w:val="both"/>
      </w:pPr>
      <w:r w:rsidRPr="004B642A">
        <w:t xml:space="preserve"> </w:t>
      </w:r>
    </w:p>
    <w:p w14:paraId="59FE1BBD" w14:textId="153959EF" w:rsidR="000A2CAB" w:rsidRDefault="00F875CA" w:rsidP="004900AF">
      <w:pPr>
        <w:pStyle w:val="Default"/>
        <w:numPr>
          <w:ilvl w:val="0"/>
          <w:numId w:val="2"/>
        </w:numPr>
        <w:jc w:val="both"/>
        <w:rPr>
          <w:sz w:val="20"/>
          <w:szCs w:val="20"/>
        </w:rPr>
      </w:pPr>
      <w:r w:rsidRPr="00F875CA">
        <w:rPr>
          <w:sz w:val="20"/>
          <w:szCs w:val="20"/>
        </w:rPr>
        <w:t>Adoptar y concluir, en un plazo de seis añ</w:t>
      </w:r>
      <w:r w:rsidR="000A2CAB">
        <w:rPr>
          <w:sz w:val="20"/>
          <w:szCs w:val="20"/>
        </w:rPr>
        <w:t xml:space="preserve">os desde la notificación de la </w:t>
      </w:r>
      <w:r w:rsidRPr="00F875CA">
        <w:rPr>
          <w:sz w:val="20"/>
          <w:szCs w:val="20"/>
        </w:rPr>
        <w:t>Sentencia,</w:t>
      </w:r>
      <w:r w:rsidR="004900AF" w:rsidRPr="00F875CA">
        <w:rPr>
          <w:sz w:val="20"/>
          <w:szCs w:val="20"/>
        </w:rPr>
        <w:t xml:space="preserve"> las acciones necesarias a fin de delimitar, demarcar y otorgar un</w:t>
      </w:r>
      <w:r>
        <w:rPr>
          <w:sz w:val="20"/>
          <w:szCs w:val="20"/>
        </w:rPr>
        <w:t xml:space="preserve"> </w:t>
      </w:r>
      <w:r w:rsidR="004900AF" w:rsidRPr="00F875CA">
        <w:rPr>
          <w:sz w:val="20"/>
          <w:szCs w:val="20"/>
        </w:rPr>
        <w:t>título que reconozca la propiedad de las 132 comunidades indígenas víctimas del</w:t>
      </w:r>
      <w:r>
        <w:rPr>
          <w:sz w:val="20"/>
          <w:szCs w:val="20"/>
        </w:rPr>
        <w:t xml:space="preserve"> </w:t>
      </w:r>
      <w:r w:rsidR="004900AF" w:rsidRPr="00F875CA">
        <w:rPr>
          <w:sz w:val="20"/>
          <w:szCs w:val="20"/>
        </w:rPr>
        <w:t>presente caso, señaladas en el Anexo V de la Sentencia, sobre su territorio</w:t>
      </w:r>
      <w:r w:rsidR="000A2CAB">
        <w:rPr>
          <w:sz w:val="20"/>
          <w:szCs w:val="20"/>
        </w:rPr>
        <w:t>.</w:t>
      </w:r>
    </w:p>
    <w:p w14:paraId="543BF58C" w14:textId="77777777" w:rsidR="000A2CAB" w:rsidRDefault="000A2CAB" w:rsidP="000D2144">
      <w:pPr>
        <w:pStyle w:val="Default"/>
        <w:jc w:val="both"/>
        <w:rPr>
          <w:sz w:val="20"/>
          <w:szCs w:val="20"/>
        </w:rPr>
      </w:pPr>
    </w:p>
    <w:p w14:paraId="778C2897" w14:textId="1C86D6C6" w:rsidR="000D2144" w:rsidRPr="000D2144" w:rsidRDefault="000D2144" w:rsidP="000D214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16"/>
          <w:szCs w:val="16"/>
        </w:rPr>
      </w:pPr>
      <w:r w:rsidRPr="000D2144">
        <w:rPr>
          <w:sz w:val="16"/>
          <w:szCs w:val="16"/>
        </w:rPr>
        <w:t xml:space="preserve">En la Resolución de 7 de febrero de 2023 se homologó un acuerdo suscrito entre el </w:t>
      </w:r>
      <w:r w:rsidRPr="000D2144">
        <w:rPr>
          <w:sz w:val="16"/>
          <w:szCs w:val="16"/>
        </w:rPr>
        <w:t xml:space="preserve">Estado, los representantes de las víctimas en este proceso internacional y la Coordinadora General de la Asociación </w:t>
      </w:r>
      <w:proofErr w:type="spellStart"/>
      <w:r w:rsidRPr="000D2144">
        <w:rPr>
          <w:sz w:val="16"/>
          <w:szCs w:val="16"/>
        </w:rPr>
        <w:t>Lhaka</w:t>
      </w:r>
      <w:proofErr w:type="spellEnd"/>
      <w:r w:rsidRPr="000D2144">
        <w:rPr>
          <w:sz w:val="16"/>
          <w:szCs w:val="16"/>
        </w:rPr>
        <w:t xml:space="preserve"> </w:t>
      </w:r>
      <w:proofErr w:type="spellStart"/>
      <w:r w:rsidRPr="000D2144">
        <w:rPr>
          <w:sz w:val="16"/>
          <w:szCs w:val="16"/>
        </w:rPr>
        <w:t>Hon</w:t>
      </w:r>
      <w:r>
        <w:rPr>
          <w:sz w:val="16"/>
          <w:szCs w:val="16"/>
        </w:rPr>
        <w:t>h</w:t>
      </w:r>
      <w:r w:rsidRPr="000D2144">
        <w:rPr>
          <w:sz w:val="16"/>
          <w:szCs w:val="16"/>
        </w:rPr>
        <w:t>at</w:t>
      </w:r>
      <w:proofErr w:type="spellEnd"/>
      <w:r w:rsidRPr="000D2144">
        <w:rPr>
          <w:sz w:val="16"/>
          <w:szCs w:val="16"/>
        </w:rPr>
        <w:t xml:space="preserve">, relacionado con la implementación de esta reparación. </w:t>
      </w:r>
    </w:p>
    <w:p w14:paraId="07C1B4F4" w14:textId="77777777" w:rsidR="000D2144" w:rsidRDefault="000D2144" w:rsidP="000D2144">
      <w:pPr>
        <w:pStyle w:val="Default"/>
        <w:jc w:val="both"/>
        <w:rPr>
          <w:sz w:val="20"/>
          <w:szCs w:val="20"/>
        </w:rPr>
      </w:pPr>
    </w:p>
    <w:p w14:paraId="29611DED" w14:textId="05000D29" w:rsidR="000A2CAB" w:rsidRDefault="000A2CAB" w:rsidP="000A2CAB">
      <w:pPr>
        <w:pStyle w:val="Default"/>
        <w:numPr>
          <w:ilvl w:val="0"/>
          <w:numId w:val="2"/>
        </w:numPr>
        <w:jc w:val="both"/>
        <w:rPr>
          <w:sz w:val="20"/>
          <w:szCs w:val="20"/>
        </w:rPr>
      </w:pPr>
      <w:r>
        <w:rPr>
          <w:sz w:val="20"/>
          <w:szCs w:val="20"/>
        </w:rPr>
        <w:t>Abstenerse</w:t>
      </w:r>
      <w:r w:rsidR="004900AF" w:rsidRPr="000A2CAB">
        <w:rPr>
          <w:sz w:val="20"/>
          <w:szCs w:val="20"/>
        </w:rPr>
        <w:t xml:space="preserve"> de realizar actos, obras o emprendimientos sobre el</w:t>
      </w:r>
      <w:r>
        <w:rPr>
          <w:sz w:val="20"/>
          <w:szCs w:val="20"/>
        </w:rPr>
        <w:t xml:space="preserve"> </w:t>
      </w:r>
      <w:r w:rsidR="004900AF" w:rsidRPr="000A2CAB">
        <w:rPr>
          <w:sz w:val="20"/>
          <w:szCs w:val="20"/>
        </w:rPr>
        <w:t>territorio indígena o que puedan afectar su existencia, valor, uso o goce, sin la previa</w:t>
      </w:r>
      <w:r>
        <w:rPr>
          <w:sz w:val="20"/>
          <w:szCs w:val="20"/>
        </w:rPr>
        <w:t xml:space="preserve"> </w:t>
      </w:r>
      <w:r w:rsidR="004900AF" w:rsidRPr="000A2CAB">
        <w:rPr>
          <w:sz w:val="20"/>
          <w:szCs w:val="20"/>
        </w:rPr>
        <w:t>provisión de información a las comunidades indígenas víctimas, así como de la</w:t>
      </w:r>
      <w:r>
        <w:rPr>
          <w:sz w:val="20"/>
          <w:szCs w:val="20"/>
        </w:rPr>
        <w:t xml:space="preserve"> </w:t>
      </w:r>
      <w:r w:rsidR="004900AF" w:rsidRPr="000A2CAB">
        <w:rPr>
          <w:sz w:val="20"/>
          <w:szCs w:val="20"/>
        </w:rPr>
        <w:t>realización de consultas previas adecuadas, libres e informadas, de acuerdo a las pautas</w:t>
      </w:r>
      <w:r>
        <w:rPr>
          <w:sz w:val="20"/>
          <w:szCs w:val="20"/>
        </w:rPr>
        <w:t xml:space="preserve"> señaladas en la</w:t>
      </w:r>
      <w:r w:rsidR="004900AF" w:rsidRPr="000A2CAB">
        <w:rPr>
          <w:sz w:val="20"/>
          <w:szCs w:val="20"/>
        </w:rPr>
        <w:t xml:space="preserve"> Sentencia</w:t>
      </w:r>
      <w:r>
        <w:rPr>
          <w:sz w:val="20"/>
          <w:szCs w:val="20"/>
        </w:rPr>
        <w:t>.</w:t>
      </w:r>
    </w:p>
    <w:p w14:paraId="6E05A36D" w14:textId="3756B720" w:rsidR="000A2CAB" w:rsidRDefault="000A2CAB" w:rsidP="000A2CAB">
      <w:pPr>
        <w:pStyle w:val="Default"/>
        <w:jc w:val="both"/>
        <w:rPr>
          <w:sz w:val="20"/>
          <w:szCs w:val="20"/>
        </w:rPr>
      </w:pPr>
    </w:p>
    <w:p w14:paraId="4FC05568" w14:textId="77777777" w:rsidR="000A2CAB" w:rsidRDefault="000A2CAB" w:rsidP="000A2CAB">
      <w:pPr>
        <w:pStyle w:val="Default"/>
        <w:numPr>
          <w:ilvl w:val="0"/>
          <w:numId w:val="2"/>
        </w:numPr>
        <w:jc w:val="both"/>
        <w:rPr>
          <w:sz w:val="20"/>
          <w:szCs w:val="20"/>
        </w:rPr>
      </w:pPr>
      <w:r w:rsidRPr="000A2CAB">
        <w:rPr>
          <w:sz w:val="20"/>
          <w:szCs w:val="20"/>
        </w:rPr>
        <w:t>Concretar, en un plazo de seis años contado desde la notificación de la Sentencia,</w:t>
      </w:r>
      <w:r w:rsidR="004900AF" w:rsidRPr="000A2CAB">
        <w:rPr>
          <w:sz w:val="20"/>
          <w:szCs w:val="20"/>
        </w:rPr>
        <w:t xml:space="preserve"> el traslado de la población criolla fuera del territorio indígena</w:t>
      </w:r>
      <w:r>
        <w:rPr>
          <w:sz w:val="20"/>
          <w:szCs w:val="20"/>
        </w:rPr>
        <w:t>.</w:t>
      </w:r>
    </w:p>
    <w:p w14:paraId="3283513F" w14:textId="77777777" w:rsidR="000D2144" w:rsidRDefault="000D2144" w:rsidP="000D2144">
      <w:pPr>
        <w:pStyle w:val="Prrafodelista"/>
      </w:pPr>
    </w:p>
    <w:p w14:paraId="72D09BC6" w14:textId="47F4FC7B" w:rsidR="000D2144" w:rsidRPr="000D2144" w:rsidRDefault="000D2144" w:rsidP="000D214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16"/>
          <w:szCs w:val="16"/>
        </w:rPr>
      </w:pPr>
      <w:r w:rsidRPr="000D2144">
        <w:rPr>
          <w:sz w:val="16"/>
          <w:szCs w:val="16"/>
        </w:rPr>
        <w:t xml:space="preserve">En la Resolución de 7 de febrero de 2023 se homologó un acuerdo suscrito entre el Estado, los representantes de las víctimas en este proceso internacional y la Coordinadora General de la Asociación </w:t>
      </w:r>
      <w:proofErr w:type="spellStart"/>
      <w:r w:rsidRPr="000D2144">
        <w:rPr>
          <w:sz w:val="16"/>
          <w:szCs w:val="16"/>
        </w:rPr>
        <w:t>Lhaka</w:t>
      </w:r>
      <w:proofErr w:type="spellEnd"/>
      <w:r w:rsidRPr="000D2144">
        <w:rPr>
          <w:sz w:val="16"/>
          <w:szCs w:val="16"/>
        </w:rPr>
        <w:t xml:space="preserve"> </w:t>
      </w:r>
      <w:proofErr w:type="spellStart"/>
      <w:r w:rsidRPr="000D2144">
        <w:rPr>
          <w:sz w:val="16"/>
          <w:szCs w:val="16"/>
        </w:rPr>
        <w:t>Hon</w:t>
      </w:r>
      <w:r>
        <w:rPr>
          <w:sz w:val="16"/>
          <w:szCs w:val="16"/>
        </w:rPr>
        <w:t>h</w:t>
      </w:r>
      <w:r w:rsidRPr="000D2144">
        <w:rPr>
          <w:sz w:val="16"/>
          <w:szCs w:val="16"/>
        </w:rPr>
        <w:t>at</w:t>
      </w:r>
      <w:proofErr w:type="spellEnd"/>
      <w:r w:rsidRPr="000D2144">
        <w:rPr>
          <w:sz w:val="16"/>
          <w:szCs w:val="16"/>
        </w:rPr>
        <w:t xml:space="preserve">, relacionado con la implementación de esta reparación. </w:t>
      </w:r>
    </w:p>
    <w:p w14:paraId="145D3EE4" w14:textId="77777777" w:rsidR="000A2CAB" w:rsidRDefault="000A2CAB" w:rsidP="000A2CAB">
      <w:pPr>
        <w:pStyle w:val="Prrafodelista"/>
      </w:pPr>
    </w:p>
    <w:p w14:paraId="039330FB" w14:textId="77777777" w:rsidR="00461FC2" w:rsidRDefault="000A2CAB" w:rsidP="004900AF">
      <w:pPr>
        <w:pStyle w:val="Default"/>
        <w:numPr>
          <w:ilvl w:val="0"/>
          <w:numId w:val="2"/>
        </w:numPr>
        <w:jc w:val="both"/>
        <w:rPr>
          <w:sz w:val="20"/>
          <w:szCs w:val="20"/>
        </w:rPr>
      </w:pPr>
      <w:r w:rsidRPr="000A2CAB">
        <w:rPr>
          <w:sz w:val="20"/>
          <w:szCs w:val="20"/>
        </w:rPr>
        <w:t>Remover</w:t>
      </w:r>
      <w:r>
        <w:rPr>
          <w:sz w:val="20"/>
          <w:szCs w:val="20"/>
        </w:rPr>
        <w:t xml:space="preserve"> </w:t>
      </w:r>
      <w:r w:rsidR="004900AF" w:rsidRPr="000A2CAB">
        <w:rPr>
          <w:sz w:val="20"/>
          <w:szCs w:val="20"/>
        </w:rPr>
        <w:t>del territorio indígena</w:t>
      </w:r>
      <w:r w:rsidRPr="000A2CAB">
        <w:rPr>
          <w:sz w:val="20"/>
          <w:szCs w:val="20"/>
        </w:rPr>
        <w:t xml:space="preserve">, en un plazo de seis años contado desde la notificación de la </w:t>
      </w:r>
      <w:r>
        <w:rPr>
          <w:sz w:val="20"/>
          <w:szCs w:val="20"/>
        </w:rPr>
        <w:t>Sentencia,</w:t>
      </w:r>
      <w:r w:rsidR="004900AF" w:rsidRPr="000A2CAB">
        <w:rPr>
          <w:sz w:val="20"/>
          <w:szCs w:val="20"/>
        </w:rPr>
        <w:t xml:space="preserve"> los alambrados y el ganado perteneciente a</w:t>
      </w:r>
      <w:r>
        <w:rPr>
          <w:sz w:val="20"/>
          <w:szCs w:val="20"/>
        </w:rPr>
        <w:t xml:space="preserve"> </w:t>
      </w:r>
      <w:r w:rsidR="004900AF" w:rsidRPr="000A2CAB">
        <w:rPr>
          <w:sz w:val="20"/>
          <w:szCs w:val="20"/>
        </w:rPr>
        <w:t>pobladores criollos</w:t>
      </w:r>
      <w:r>
        <w:rPr>
          <w:sz w:val="20"/>
          <w:szCs w:val="20"/>
        </w:rPr>
        <w:t>.</w:t>
      </w:r>
    </w:p>
    <w:p w14:paraId="457DD8FA" w14:textId="77777777" w:rsidR="00461FC2" w:rsidRDefault="00461FC2" w:rsidP="00461FC2">
      <w:pPr>
        <w:pStyle w:val="Prrafodelista"/>
      </w:pPr>
    </w:p>
    <w:p w14:paraId="12D42DE2" w14:textId="6B2CC563" w:rsidR="00461FC2" w:rsidRDefault="00461FC2" w:rsidP="000D2144">
      <w:pPr>
        <w:pStyle w:val="Default"/>
        <w:numPr>
          <w:ilvl w:val="0"/>
          <w:numId w:val="2"/>
        </w:numPr>
        <w:jc w:val="both"/>
        <w:rPr>
          <w:sz w:val="20"/>
          <w:szCs w:val="20"/>
        </w:rPr>
      </w:pPr>
      <w:r>
        <w:rPr>
          <w:sz w:val="20"/>
          <w:szCs w:val="20"/>
        </w:rPr>
        <w:t>Presentar</w:t>
      </w:r>
      <w:r w:rsidRPr="00461FC2">
        <w:rPr>
          <w:sz w:val="20"/>
          <w:szCs w:val="20"/>
        </w:rPr>
        <w:t xml:space="preserve"> a la Corte</w:t>
      </w:r>
      <w:r w:rsidR="000D2144">
        <w:rPr>
          <w:sz w:val="20"/>
          <w:szCs w:val="20"/>
        </w:rPr>
        <w:t xml:space="preserve"> Interamericana</w:t>
      </w:r>
      <w:r>
        <w:rPr>
          <w:sz w:val="20"/>
          <w:szCs w:val="20"/>
        </w:rPr>
        <w:t>,</w:t>
      </w:r>
      <w:r w:rsidRPr="00461FC2">
        <w:rPr>
          <w:sz w:val="20"/>
          <w:szCs w:val="20"/>
        </w:rPr>
        <w:t xml:space="preserve"> </w:t>
      </w:r>
      <w:r w:rsidR="004900AF" w:rsidRPr="00461FC2">
        <w:rPr>
          <w:sz w:val="20"/>
          <w:szCs w:val="20"/>
        </w:rPr>
        <w:t>en el plazo máximo de seis meses contado a partir de la notificación</w:t>
      </w:r>
      <w:r>
        <w:rPr>
          <w:sz w:val="20"/>
          <w:szCs w:val="20"/>
        </w:rPr>
        <w:t xml:space="preserve"> </w:t>
      </w:r>
      <w:r w:rsidR="004900AF" w:rsidRPr="00461FC2">
        <w:rPr>
          <w:sz w:val="20"/>
          <w:szCs w:val="20"/>
        </w:rPr>
        <w:t>de la Sentencia, un estudio en que identifique situaciones</w:t>
      </w:r>
      <w:r>
        <w:rPr>
          <w:sz w:val="20"/>
          <w:szCs w:val="20"/>
        </w:rPr>
        <w:t xml:space="preserve"> </w:t>
      </w:r>
      <w:r w:rsidR="004900AF" w:rsidRPr="00461FC2">
        <w:rPr>
          <w:sz w:val="20"/>
          <w:szCs w:val="20"/>
        </w:rPr>
        <w:t>críticas de falta de acceso a agua potable o aliment</w:t>
      </w:r>
      <w:r>
        <w:rPr>
          <w:sz w:val="20"/>
          <w:szCs w:val="20"/>
        </w:rPr>
        <w:t>ación y formulará e implementar</w:t>
      </w:r>
      <w:r w:rsidR="004900AF" w:rsidRPr="00461FC2">
        <w:rPr>
          <w:sz w:val="20"/>
          <w:szCs w:val="20"/>
        </w:rPr>
        <w:t xml:space="preserve"> un</w:t>
      </w:r>
      <w:r>
        <w:rPr>
          <w:sz w:val="20"/>
          <w:szCs w:val="20"/>
        </w:rPr>
        <w:t xml:space="preserve"> </w:t>
      </w:r>
      <w:r w:rsidR="004900AF" w:rsidRPr="00461FC2">
        <w:rPr>
          <w:sz w:val="20"/>
          <w:szCs w:val="20"/>
        </w:rPr>
        <w:t>plan de acción</w:t>
      </w:r>
      <w:r>
        <w:rPr>
          <w:sz w:val="20"/>
          <w:szCs w:val="20"/>
        </w:rPr>
        <w:t>.</w:t>
      </w:r>
    </w:p>
    <w:p w14:paraId="3A39DBD4" w14:textId="77777777" w:rsidR="000D2144" w:rsidRDefault="000D2144" w:rsidP="000D2144">
      <w:pPr>
        <w:pStyle w:val="Prrafodelista"/>
      </w:pPr>
    </w:p>
    <w:p w14:paraId="58B3314D" w14:textId="77777777" w:rsidR="000D2144" w:rsidRPr="000D2144" w:rsidRDefault="000D2144" w:rsidP="000D214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16"/>
          <w:szCs w:val="16"/>
        </w:rPr>
      </w:pPr>
      <w:r w:rsidRPr="000D2144">
        <w:rPr>
          <w:sz w:val="16"/>
          <w:szCs w:val="16"/>
        </w:rPr>
        <w:t xml:space="preserve">En la Resolución de 7 de febrero de 2023 se homologó un acuerdo suscrito entre el Estado, los representantes de las víctimas en este proceso internacional y la Coordinadora General de la Asociación </w:t>
      </w:r>
      <w:proofErr w:type="spellStart"/>
      <w:r w:rsidRPr="000D2144">
        <w:rPr>
          <w:sz w:val="16"/>
          <w:szCs w:val="16"/>
        </w:rPr>
        <w:t>Lhaka</w:t>
      </w:r>
      <w:proofErr w:type="spellEnd"/>
      <w:r w:rsidRPr="000D2144">
        <w:rPr>
          <w:sz w:val="16"/>
          <w:szCs w:val="16"/>
        </w:rPr>
        <w:t xml:space="preserve"> </w:t>
      </w:r>
      <w:proofErr w:type="spellStart"/>
      <w:r w:rsidRPr="000D2144">
        <w:rPr>
          <w:sz w:val="16"/>
          <w:szCs w:val="16"/>
        </w:rPr>
        <w:t>Hon</w:t>
      </w:r>
      <w:r>
        <w:rPr>
          <w:sz w:val="16"/>
          <w:szCs w:val="16"/>
        </w:rPr>
        <w:t>h</w:t>
      </w:r>
      <w:r w:rsidRPr="000D2144">
        <w:rPr>
          <w:sz w:val="16"/>
          <w:szCs w:val="16"/>
        </w:rPr>
        <w:t>at</w:t>
      </w:r>
      <w:proofErr w:type="spellEnd"/>
      <w:r w:rsidRPr="000D2144">
        <w:rPr>
          <w:sz w:val="16"/>
          <w:szCs w:val="16"/>
        </w:rPr>
        <w:t xml:space="preserve">, relacionado con la implementación de esta reparación. </w:t>
      </w:r>
    </w:p>
    <w:p w14:paraId="418C30D3" w14:textId="77777777" w:rsidR="000D2144" w:rsidRPr="000D2144" w:rsidRDefault="000D2144" w:rsidP="000D2144">
      <w:pPr>
        <w:pStyle w:val="Default"/>
        <w:ind w:left="363"/>
        <w:jc w:val="both"/>
        <w:rPr>
          <w:sz w:val="20"/>
          <w:szCs w:val="20"/>
        </w:rPr>
      </w:pPr>
    </w:p>
    <w:p w14:paraId="0C094FEE" w14:textId="77777777" w:rsidR="000D2144" w:rsidRDefault="00461FC2" w:rsidP="00F91FF6">
      <w:pPr>
        <w:pStyle w:val="Default"/>
        <w:numPr>
          <w:ilvl w:val="0"/>
          <w:numId w:val="2"/>
        </w:numPr>
        <w:jc w:val="both"/>
        <w:rPr>
          <w:sz w:val="20"/>
          <w:szCs w:val="20"/>
        </w:rPr>
      </w:pPr>
      <w:r>
        <w:rPr>
          <w:sz w:val="20"/>
          <w:szCs w:val="20"/>
        </w:rPr>
        <w:t>Elaborar,</w:t>
      </w:r>
      <w:r w:rsidRPr="00461FC2">
        <w:rPr>
          <w:sz w:val="20"/>
          <w:szCs w:val="20"/>
        </w:rPr>
        <w:t xml:space="preserve"> </w:t>
      </w:r>
      <w:r>
        <w:rPr>
          <w:sz w:val="20"/>
          <w:szCs w:val="20"/>
        </w:rPr>
        <w:t>en el</w:t>
      </w:r>
      <w:r w:rsidR="004900AF" w:rsidRPr="00461FC2">
        <w:rPr>
          <w:sz w:val="20"/>
          <w:szCs w:val="20"/>
        </w:rPr>
        <w:t xml:space="preserve"> plazo de un año contado a p</w:t>
      </w:r>
      <w:r>
        <w:rPr>
          <w:sz w:val="20"/>
          <w:szCs w:val="20"/>
        </w:rPr>
        <w:t xml:space="preserve">artir de la notificación de la </w:t>
      </w:r>
      <w:r w:rsidR="004900AF" w:rsidRPr="00461FC2">
        <w:rPr>
          <w:sz w:val="20"/>
          <w:szCs w:val="20"/>
        </w:rPr>
        <w:t>Sentencia, un estudio en el que establezca acciones que deben instrumentarse</w:t>
      </w:r>
      <w:r>
        <w:rPr>
          <w:sz w:val="20"/>
          <w:szCs w:val="20"/>
        </w:rPr>
        <w:t xml:space="preserve"> </w:t>
      </w:r>
      <w:r w:rsidR="004900AF" w:rsidRPr="00461FC2">
        <w:rPr>
          <w:sz w:val="20"/>
          <w:szCs w:val="20"/>
        </w:rPr>
        <w:t>para la conservación de aguas y para evitar y remediar su contaminación; garantizar el</w:t>
      </w:r>
      <w:r>
        <w:rPr>
          <w:sz w:val="20"/>
          <w:szCs w:val="20"/>
        </w:rPr>
        <w:t xml:space="preserve"> </w:t>
      </w:r>
      <w:r w:rsidR="004900AF" w:rsidRPr="00461FC2">
        <w:rPr>
          <w:sz w:val="20"/>
          <w:szCs w:val="20"/>
        </w:rPr>
        <w:t>acceso permanente a agua potable; evitar que continué la pérdida o disminución de</w:t>
      </w:r>
      <w:r>
        <w:rPr>
          <w:sz w:val="20"/>
          <w:szCs w:val="20"/>
        </w:rPr>
        <w:t xml:space="preserve"> </w:t>
      </w:r>
      <w:r w:rsidR="004900AF" w:rsidRPr="00461FC2">
        <w:rPr>
          <w:sz w:val="20"/>
          <w:szCs w:val="20"/>
        </w:rPr>
        <w:t>recursos forestales y procurar su recuperación, y posibilitar el acceso a alimentación</w:t>
      </w:r>
      <w:r>
        <w:rPr>
          <w:sz w:val="20"/>
          <w:szCs w:val="20"/>
        </w:rPr>
        <w:t xml:space="preserve"> </w:t>
      </w:r>
      <w:r w:rsidR="004900AF" w:rsidRPr="00461FC2">
        <w:rPr>
          <w:sz w:val="20"/>
          <w:szCs w:val="20"/>
        </w:rPr>
        <w:t>nutricional y culturalmente adecuada</w:t>
      </w:r>
      <w:r>
        <w:rPr>
          <w:sz w:val="20"/>
          <w:szCs w:val="20"/>
        </w:rPr>
        <w:t>.</w:t>
      </w:r>
    </w:p>
    <w:p w14:paraId="705A5484" w14:textId="77777777" w:rsidR="000D2144" w:rsidRDefault="000D2144" w:rsidP="000D2144">
      <w:pPr>
        <w:pStyle w:val="Default"/>
        <w:ind w:left="363"/>
        <w:jc w:val="both"/>
        <w:rPr>
          <w:sz w:val="20"/>
          <w:szCs w:val="20"/>
        </w:rPr>
      </w:pPr>
    </w:p>
    <w:p w14:paraId="11F04F51" w14:textId="7CD2439A" w:rsidR="00543CFE" w:rsidRDefault="000D2144" w:rsidP="00F91FF6">
      <w:pPr>
        <w:pStyle w:val="Default"/>
        <w:numPr>
          <w:ilvl w:val="0"/>
          <w:numId w:val="2"/>
        </w:numPr>
        <w:jc w:val="both"/>
        <w:rPr>
          <w:sz w:val="20"/>
          <w:szCs w:val="20"/>
        </w:rPr>
      </w:pPr>
      <w:r>
        <w:rPr>
          <w:sz w:val="20"/>
          <w:szCs w:val="20"/>
        </w:rPr>
        <w:t>P</w:t>
      </w:r>
      <w:r w:rsidRPr="000D2144">
        <w:rPr>
          <w:sz w:val="20"/>
          <w:szCs w:val="20"/>
        </w:rPr>
        <w:t>agar la cantidad indicada en el párrafo 342 de la Sentencia por concepto de indemnización de daños materiales e inmateriales comunitarios, a través de un fondo de desarrollo comunitario, el cual debe implementarse en los términos señalados en los párrafos 338 a 343 de la Sentencia</w:t>
      </w:r>
      <w:r>
        <w:rPr>
          <w:sz w:val="20"/>
          <w:szCs w:val="20"/>
        </w:rPr>
        <w:t>.</w:t>
      </w:r>
    </w:p>
    <w:p w14:paraId="0E1185FE" w14:textId="77777777" w:rsidR="000D2144" w:rsidRDefault="000D2144" w:rsidP="000D2144">
      <w:pPr>
        <w:pStyle w:val="Prrafodelista"/>
      </w:pPr>
    </w:p>
    <w:p w14:paraId="213A32CE" w14:textId="77777777" w:rsidR="00543CFE" w:rsidRDefault="00543CFE" w:rsidP="004900AF">
      <w:pPr>
        <w:pStyle w:val="Default"/>
        <w:numPr>
          <w:ilvl w:val="0"/>
          <w:numId w:val="2"/>
        </w:numPr>
        <w:jc w:val="both"/>
        <w:rPr>
          <w:sz w:val="20"/>
          <w:szCs w:val="20"/>
        </w:rPr>
      </w:pPr>
      <w:r>
        <w:rPr>
          <w:sz w:val="20"/>
          <w:szCs w:val="20"/>
        </w:rPr>
        <w:t>Adoptar</w:t>
      </w:r>
      <w:r w:rsidR="004900AF" w:rsidRPr="00543CFE">
        <w:rPr>
          <w:sz w:val="20"/>
          <w:szCs w:val="20"/>
        </w:rPr>
        <w:t xml:space="preserve"> las medidas legislativas y/o de otro</w:t>
      </w:r>
      <w:r>
        <w:rPr>
          <w:sz w:val="20"/>
          <w:szCs w:val="20"/>
        </w:rPr>
        <w:t xml:space="preserve"> </w:t>
      </w:r>
      <w:r w:rsidR="004900AF" w:rsidRPr="00543CFE">
        <w:rPr>
          <w:sz w:val="20"/>
          <w:szCs w:val="20"/>
        </w:rPr>
        <w:t>carácter que fueren necesarias para dotar de seguridad jurídica al derecho de propiedad</w:t>
      </w:r>
      <w:r>
        <w:rPr>
          <w:sz w:val="20"/>
          <w:szCs w:val="20"/>
        </w:rPr>
        <w:t xml:space="preserve"> </w:t>
      </w:r>
      <w:r w:rsidR="004900AF" w:rsidRPr="00543CFE">
        <w:rPr>
          <w:sz w:val="20"/>
          <w:szCs w:val="20"/>
        </w:rPr>
        <w:t>comunitaria indígena</w:t>
      </w:r>
      <w:r>
        <w:rPr>
          <w:sz w:val="20"/>
          <w:szCs w:val="20"/>
        </w:rPr>
        <w:t>.</w:t>
      </w:r>
    </w:p>
    <w:p w14:paraId="453ED2D0" w14:textId="77777777" w:rsidR="00543CFE" w:rsidRDefault="00543CFE" w:rsidP="00543CFE">
      <w:pPr>
        <w:pStyle w:val="Prrafodelista"/>
      </w:pPr>
    </w:p>
    <w:p w14:paraId="5BF1BD29" w14:textId="77777777" w:rsidR="00543CFE" w:rsidRDefault="00543CFE" w:rsidP="004900AF">
      <w:pPr>
        <w:pStyle w:val="Default"/>
        <w:numPr>
          <w:ilvl w:val="0"/>
          <w:numId w:val="2"/>
        </w:numPr>
        <w:jc w:val="both"/>
        <w:rPr>
          <w:sz w:val="20"/>
          <w:szCs w:val="20"/>
        </w:rPr>
      </w:pPr>
      <w:r w:rsidRPr="00543CFE">
        <w:rPr>
          <w:sz w:val="20"/>
          <w:szCs w:val="20"/>
        </w:rPr>
        <w:lastRenderedPageBreak/>
        <w:t>Pagar</w:t>
      </w:r>
      <w:r w:rsidR="004900AF" w:rsidRPr="00543CFE">
        <w:rPr>
          <w:sz w:val="20"/>
          <w:szCs w:val="20"/>
        </w:rPr>
        <w:t xml:space="preserve"> </w:t>
      </w:r>
      <w:r>
        <w:rPr>
          <w:sz w:val="20"/>
          <w:szCs w:val="20"/>
        </w:rPr>
        <w:t>la cantidad fijada en el</w:t>
      </w:r>
      <w:r w:rsidR="004900AF" w:rsidRPr="00543CFE">
        <w:rPr>
          <w:sz w:val="20"/>
          <w:szCs w:val="20"/>
        </w:rPr>
        <w:t xml:space="preserve"> párrafo 365 </w:t>
      </w:r>
      <w:r>
        <w:rPr>
          <w:sz w:val="20"/>
          <w:szCs w:val="20"/>
        </w:rPr>
        <w:t xml:space="preserve">de la Sentencia por concepto de reintegro de </w:t>
      </w:r>
      <w:r w:rsidR="004900AF" w:rsidRPr="00543CFE">
        <w:rPr>
          <w:sz w:val="20"/>
          <w:szCs w:val="20"/>
        </w:rPr>
        <w:t>costas</w:t>
      </w:r>
      <w:r>
        <w:rPr>
          <w:sz w:val="20"/>
          <w:szCs w:val="20"/>
        </w:rPr>
        <w:t xml:space="preserve"> y </w:t>
      </w:r>
      <w:r w:rsidRPr="00543CFE">
        <w:rPr>
          <w:sz w:val="20"/>
          <w:szCs w:val="20"/>
        </w:rPr>
        <w:t>gastos</w:t>
      </w:r>
      <w:r>
        <w:rPr>
          <w:sz w:val="20"/>
          <w:szCs w:val="20"/>
        </w:rPr>
        <w:t>.</w:t>
      </w:r>
    </w:p>
    <w:p w14:paraId="4CCF745C" w14:textId="77777777" w:rsidR="00543CFE" w:rsidRDefault="00543CFE" w:rsidP="00543CFE">
      <w:pPr>
        <w:pStyle w:val="Prrafodelista"/>
      </w:pPr>
    </w:p>
    <w:p w14:paraId="7746B9FF" w14:textId="68F29DE8" w:rsidR="00CB709C" w:rsidRDefault="00CB709C" w:rsidP="001F3AA6">
      <w:pPr>
        <w:jc w:val="both"/>
        <w:rPr>
          <w:rFonts w:ascii="Verdana" w:hAnsi="Verdana"/>
        </w:rPr>
      </w:pPr>
    </w:p>
    <w:p w14:paraId="00D0B7B8" w14:textId="77777777" w:rsidR="00F91FF6" w:rsidRPr="0063307C" w:rsidRDefault="00F91FF6" w:rsidP="00F91FF6">
      <w:pPr>
        <w:pStyle w:val="Default"/>
        <w:jc w:val="both"/>
        <w:rPr>
          <w:b/>
          <w:sz w:val="20"/>
          <w:szCs w:val="20"/>
          <w:u w:val="single"/>
        </w:rPr>
      </w:pPr>
      <w:r>
        <w:rPr>
          <w:b/>
          <w:sz w:val="20"/>
          <w:szCs w:val="20"/>
          <w:u w:val="single"/>
        </w:rPr>
        <w:t>Cumplimiento parcial</w:t>
      </w:r>
    </w:p>
    <w:p w14:paraId="6224B22F" w14:textId="77777777" w:rsidR="00F91FF6" w:rsidRPr="0063307C" w:rsidRDefault="00F91FF6" w:rsidP="00F91FF6">
      <w:pPr>
        <w:pStyle w:val="Default"/>
        <w:jc w:val="both"/>
        <w:rPr>
          <w:sz w:val="20"/>
          <w:szCs w:val="20"/>
        </w:rPr>
      </w:pPr>
    </w:p>
    <w:p w14:paraId="34D49296" w14:textId="514E1233" w:rsidR="00F91FF6" w:rsidRPr="00753097" w:rsidRDefault="00F91FF6" w:rsidP="000D2144">
      <w:pPr>
        <w:pStyle w:val="Default"/>
        <w:numPr>
          <w:ilvl w:val="0"/>
          <w:numId w:val="2"/>
        </w:numPr>
        <w:ind w:left="0" w:firstLine="0"/>
        <w:jc w:val="both"/>
        <w:rPr>
          <w:sz w:val="20"/>
          <w:szCs w:val="20"/>
        </w:rPr>
      </w:pPr>
      <w:r w:rsidRPr="00753097">
        <w:rPr>
          <w:sz w:val="20"/>
          <w:szCs w:val="20"/>
        </w:rPr>
        <w:t>Realizar las publicaciones y transmisiones radiales indicadas en los párrafos 348 y 349 de la Sentencia.</w:t>
      </w:r>
    </w:p>
    <w:p w14:paraId="5A085DCE" w14:textId="77777777" w:rsidR="00F91FF6" w:rsidRDefault="00F91FF6" w:rsidP="00F91FF6">
      <w:pPr>
        <w:pStyle w:val="Default"/>
        <w:ind w:left="363"/>
        <w:jc w:val="both"/>
        <w:rPr>
          <w:sz w:val="20"/>
          <w:szCs w:val="20"/>
        </w:rPr>
      </w:pPr>
    </w:p>
    <w:p w14:paraId="0E039576" w14:textId="77777777" w:rsidR="00F91FF6" w:rsidRDefault="00F91FF6" w:rsidP="000D2144">
      <w:pPr>
        <w:pStyle w:val="Default"/>
        <w:jc w:val="both"/>
        <w:rPr>
          <w:sz w:val="20"/>
          <w:szCs w:val="20"/>
        </w:rPr>
      </w:pPr>
      <w:r>
        <w:rPr>
          <w:sz w:val="20"/>
          <w:szCs w:val="20"/>
        </w:rPr>
        <w:t>En el Considerando 13</w:t>
      </w:r>
      <w:r w:rsidRPr="0063307C">
        <w:rPr>
          <w:sz w:val="20"/>
          <w:szCs w:val="20"/>
        </w:rPr>
        <w:t xml:space="preserve"> de la Resolución de la Corte de </w:t>
      </w:r>
      <w:r>
        <w:rPr>
          <w:sz w:val="20"/>
          <w:szCs w:val="20"/>
        </w:rPr>
        <w:t>7 de febrero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3A897961" w14:textId="77777777" w:rsidR="00F91FF6" w:rsidRPr="00683F7B" w:rsidRDefault="00F91FF6" w:rsidP="00F91FF6">
      <w:pPr>
        <w:jc w:val="both"/>
        <w:rPr>
          <w:rFonts w:ascii="Verdana" w:hAnsi="Verdana"/>
        </w:rPr>
      </w:pPr>
    </w:p>
    <w:p w14:paraId="470249D7" w14:textId="0DD9B932" w:rsidR="00F91FF6" w:rsidRPr="00845A39" w:rsidRDefault="00F91FF6" w:rsidP="000D2144">
      <w:pPr>
        <w:pStyle w:val="Prrafodelista"/>
        <w:ind w:left="284" w:right="288"/>
        <w:jc w:val="both"/>
        <w:rPr>
          <w:rFonts w:ascii="Verdana" w:hAnsi="Verdana"/>
          <w:sz w:val="16"/>
        </w:rPr>
      </w:pPr>
      <w:r w:rsidRPr="00EC5845">
        <w:rPr>
          <w:rFonts w:ascii="Verdana" w:hAnsi="Verdana"/>
          <w:sz w:val="16"/>
        </w:rPr>
        <w:t xml:space="preserve">13. Para valorar el cumplimiento total a las medidas de publicación y difusión de la Sentencia y su resumen oficial ordenadas en el punto resolutivo décimo cuarto y párrafos 348 y 349 del Fallo, se encuentra pendiente que el Estado informe sobre el cumplimiento de las medidas relativas a : i) difundir el resumen oficial de la Sentencia, en lenguas indígenas y en español, entre la población que habita actualmente los lotes 14 y 55, inclusive cada una de las comunidades víctimas23 y </w:t>
      </w:r>
      <w:proofErr w:type="spellStart"/>
      <w:r w:rsidRPr="00EC5845">
        <w:rPr>
          <w:rFonts w:ascii="Verdana" w:hAnsi="Verdana"/>
          <w:sz w:val="16"/>
        </w:rPr>
        <w:t>ii</w:t>
      </w:r>
      <w:proofErr w:type="spellEnd"/>
      <w:r w:rsidRPr="00EC5845">
        <w:rPr>
          <w:rFonts w:ascii="Verdana" w:hAnsi="Verdana"/>
          <w:sz w:val="16"/>
        </w:rPr>
        <w:t>) difundir, a través de una emisora radial de amplia cobertura, que alcance a toda la extensión de los lotes fiscales 14 y 15 del Departamento de Rivadavia en la Provincia de Salta, el resumen oficial de la Sentencia, en español y, previo consenso con los representantes, en lenguas de las comunidades indígenas víctimas. Si bien el Estado ha informado sobre avances en la realización de las traducciones del resumen a lenguas indígenas de las comunidades, no ha informado que las referidas difusiones se hayan concretado. En ese sentido, nota que han transcurrido más de dos años desde el vencimiento del plazo de seis meses para cumplir con estos aspectos de la reparación, por lo que se solicita a Argentina que, en su próximo informe, explique de manera actualizada y detallada las acciones que tomará para cumplir con estas difusiones a la mayor brevedad posible.</w:t>
      </w:r>
    </w:p>
    <w:p w14:paraId="56A1308F" w14:textId="77777777" w:rsidR="00F91FF6" w:rsidRPr="00F663F0" w:rsidRDefault="00F91FF6" w:rsidP="001F3AA6">
      <w:pPr>
        <w:jc w:val="both"/>
        <w:rPr>
          <w:rFonts w:ascii="Verdana" w:hAnsi="Verdana"/>
        </w:rPr>
      </w:pPr>
    </w:p>
    <w:sectPr w:rsidR="00F91FF6" w:rsidRPr="00F663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FE27" w14:textId="77777777" w:rsidR="00333B9D" w:rsidRDefault="00333B9D">
      <w:r>
        <w:separator/>
      </w:r>
    </w:p>
  </w:endnote>
  <w:endnote w:type="continuationSeparator" w:id="0">
    <w:p w14:paraId="07F0F4FF" w14:textId="77777777" w:rsidR="00333B9D" w:rsidRDefault="003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0D214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0D2144" w:rsidRPr="00972124" w:rsidRDefault="000D214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D94A" w14:textId="77777777" w:rsidR="00333B9D" w:rsidRDefault="00333B9D">
      <w:r>
        <w:separator/>
      </w:r>
    </w:p>
  </w:footnote>
  <w:footnote w:type="continuationSeparator" w:id="0">
    <w:p w14:paraId="4F53319B" w14:textId="77777777" w:rsidR="00333B9D" w:rsidRDefault="0033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36C6ECB9" w:rsidR="000D2144"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1F7531">
          <w:rPr>
            <w:rFonts w:ascii="Verdana" w:hAnsi="Verdana"/>
            <w:noProof/>
          </w:rPr>
          <w:t>1</w:t>
        </w:r>
        <w:r w:rsidRPr="00675FE7">
          <w:rPr>
            <w:rFonts w:ascii="Verdana" w:hAnsi="Verdana"/>
            <w:noProof/>
          </w:rPr>
          <w:fldChar w:fldCharType="end"/>
        </w:r>
      </w:p>
    </w:sdtContent>
  </w:sdt>
  <w:p w14:paraId="1EF4AC7C" w14:textId="77777777" w:rsidR="000D2144" w:rsidRDefault="000D21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256"/>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2"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4" w15:restartNumberingAfterBreak="0">
    <w:nsid w:val="4C5E77C1"/>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450243800">
    <w:abstractNumId w:val="2"/>
  </w:num>
  <w:num w:numId="2" w16cid:durableId="1042486789">
    <w:abstractNumId w:val="1"/>
  </w:num>
  <w:num w:numId="3" w16cid:durableId="1013457617">
    <w:abstractNumId w:val="3"/>
  </w:num>
  <w:num w:numId="4" w16cid:durableId="1018965599">
    <w:abstractNumId w:val="4"/>
  </w:num>
  <w:num w:numId="5" w16cid:durableId="125562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926D5"/>
    <w:rsid w:val="000A2CAB"/>
    <w:rsid w:val="000D2144"/>
    <w:rsid w:val="000E2F4F"/>
    <w:rsid w:val="000F5438"/>
    <w:rsid w:val="00117E0E"/>
    <w:rsid w:val="001942D3"/>
    <w:rsid w:val="00194D75"/>
    <w:rsid w:val="001E2499"/>
    <w:rsid w:val="001F3AA6"/>
    <w:rsid w:val="001F7531"/>
    <w:rsid w:val="00287C7E"/>
    <w:rsid w:val="002E1334"/>
    <w:rsid w:val="002F18CC"/>
    <w:rsid w:val="00327C85"/>
    <w:rsid w:val="00331567"/>
    <w:rsid w:val="00333B9D"/>
    <w:rsid w:val="00344D7A"/>
    <w:rsid w:val="00427819"/>
    <w:rsid w:val="00461FC2"/>
    <w:rsid w:val="004900AF"/>
    <w:rsid w:val="004B642A"/>
    <w:rsid w:val="004C665B"/>
    <w:rsid w:val="004D0CA1"/>
    <w:rsid w:val="004F6977"/>
    <w:rsid w:val="00543CFE"/>
    <w:rsid w:val="00581650"/>
    <w:rsid w:val="005C16F6"/>
    <w:rsid w:val="006C4B02"/>
    <w:rsid w:val="00742BD2"/>
    <w:rsid w:val="0078037D"/>
    <w:rsid w:val="007D7186"/>
    <w:rsid w:val="008F5581"/>
    <w:rsid w:val="009D529F"/>
    <w:rsid w:val="00A73E79"/>
    <w:rsid w:val="00A85FFA"/>
    <w:rsid w:val="00AD40A2"/>
    <w:rsid w:val="00B00574"/>
    <w:rsid w:val="00BE4B32"/>
    <w:rsid w:val="00C057B7"/>
    <w:rsid w:val="00C6459C"/>
    <w:rsid w:val="00C802E3"/>
    <w:rsid w:val="00CB709C"/>
    <w:rsid w:val="00CD28B3"/>
    <w:rsid w:val="00D96653"/>
    <w:rsid w:val="00E34D8E"/>
    <w:rsid w:val="00E513CC"/>
    <w:rsid w:val="00E80A46"/>
    <w:rsid w:val="00F663F0"/>
    <w:rsid w:val="00F67C62"/>
    <w:rsid w:val="00F875CA"/>
    <w:rsid w:val="00F91F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unhideWhenUsed/>
    <w:rsid w:val="005C16F6"/>
  </w:style>
  <w:style w:type="character" w:customStyle="1" w:styleId="TextonotapieCar">
    <w:name w:val="Texto nota pie Car"/>
    <w:basedOn w:val="Fuentedeprrafopredeter"/>
    <w:link w:val="Textonotapie"/>
    <w:uiPriority w:val="99"/>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B3B0-37C9-49DF-8304-B0D84955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Lucia Aguirre</cp:lastModifiedBy>
  <cp:revision>5</cp:revision>
  <dcterms:created xsi:type="dcterms:W3CDTF">2022-01-18T21:07:00Z</dcterms:created>
  <dcterms:modified xsi:type="dcterms:W3CDTF">2023-08-31T17:54:00Z</dcterms:modified>
</cp:coreProperties>
</file>